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bookmarkStart w:id="0" w:name="_GoBack"/>
      <w:bookmarkEnd w:id="0"/>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附件</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法人金融机构洗钱和恐怖融资风险管理指引（试行）</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第一章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总则</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为引导法人金融机构深入实践风险为本方法，落实《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制定本指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本指引适用于在中华人民共和国境内依法设立的法人金融机构。</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有效的洗钱风险管理是法人金融机构安全、稳健运行的基础，法人金融机构及其全体员工应当勤勉尽责，牢固树立合规意识和风险意识，建立健全洗钱风险管理体系，按照风险为本方法，合理配置资源，对本机构洗钱风险进行持续识别、审慎评估、有效控制及全程管理，有效防范洗钱风险。</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法人金融机构应当考虑洗钱风险与声誉、法律、流动性等风险之间的关联性和传导性，审慎评估洗钱风险对声誉、运营、财务等方面的影响，防范洗钱风险传导与扩散。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法人金融机构洗钱风险管理应当遵循以下主要原则:</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全面性原则。洗钱风险管理应当贯穿决策、执行和监督的全过程；覆盖各项业务活动和管理流程；覆盖所有境内外分支机构及相关附属机构，以及相关部门、岗位和人员。（二）独立性原则。洗钱风险管理应当在组织架构、制度、流程、人员安排、报告路线等方面保持独立性，对业务经营和管理决策保持合理制衡。</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（三）匹配性原则。洗钱风险管理资源投入应当与所处行业风险特征、管理模式、业务规模、产品复杂程度等因素相适应，并根据情况变化及时调整。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（四）有效性原则。洗钱风险管理应当融入日常业务和经营管理，根据实际风险情况采取有针对性的控制措施，将洗钱风险控制在自身风险管理能力范围内。</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洗钱风险管理体系应当包括但不限于以下要素:</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（一）风险管理架构；</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（二）风险管理策略；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（三）风险管理政策和程序；</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（四）信息系统、数据治理；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（五）内部检查、审计、绩效考核和奖惩机制。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第七条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法人金融机构应当积极建设洗钱风险管理文化，促进全体员工树立洗钱风险管理意识、坚持价值准则、恪守职业操守，营造主动管理、合规经营的良好文化氛围。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中国人民银行及其分支机构依法对法人金融机构洗钱风险管理工作实施监督管理。</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第二章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风险管理架构</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法人金融机构董事会承担洗钱风险管理的最终责任，主要履行以下职责: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（一）确立洗钱风险管理文化建设目标；</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（二）审定洗钱风险管理策略；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（三）审批洗钱风险管理的政策和程序；</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（四）授权高级管理人员牵头负责洗钱风险管理；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（五）定期审阅反洗钱工作报告，及时了解重大洗钱风险事件及处理情况；</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（六）其他相关职。</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董事会可以授权下设的专业委员会履行其洗钱风险管理的部分职责。专业委员会负责向董事会提供洗钱风险管理专业意见。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法人金融机构监事会承担洗钱风险管理的监督责任，负责监督董事会和高级管理层在洗钱风险管理方面的履职尽责情况并督促整改，对法人金融机构的洗钱风险管理提出建议和意见。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法人金融机构高级管理层承担洗钱风险管理的实施责任，执行董事会决议，主要履行以下职责: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（一）推动洗钱风险管理文化建设；</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（二）建立并及时调整洗钱风险管理组织架构，明确反洗钱管理部门、业务部门及其他部门在洗钱风险管理中的职责分工和协调机制；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（三）制定、调整洗钱风险管理策略及其执行机制；（四）审核洗钱风险管理政策和程序；</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（五）定期向董事会报告反洗钱工作情况，及时向董事会和监事会报告重大洗钱风险事件；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（六）组织落实反洗钱信息系统和数据治理；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（七）组织落实反洗钱绩效考核和奖惩机制；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（八）根据董事会授权对违反洗钱风险管理政策和程序的情况进行处理；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（九）其他相关职责。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反洗钱管理部门牵头开展洗钱风险管理工作，推动落实各项反洗钱工作，主要履行以下职责: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（一）制定起草洗钱风险管理政策和程序；</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（二）贯彻落实反洗钱法律法规和监管要求，建立健全反洗钱内部控制制度及内部检查机制；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（三）识别、评估、监测本机构的洗钱风险，提出控制洗钱风险的措施和建议，及时向高级管理层报告；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（四）持续检查洗钱风险管理策略及洗钱风险管理政策和程序的执行情况，对违反风险管理政策和程序的情况及时预警、报告并提出处理建议；</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（五）建立反洗钱工作协调机制，指导业务部门开展洗钱</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（六）组织或协调各相关部门开展客户洗钱风险分类管理；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（七）组织落实交易监测和名单监控的相关要求，按照规定报告大额交易和可疑交易；</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（八）牵头配合反洗钱监管，协调配合反洗钱行政调查；（九）组织或协调相关部门开展反洗钱宣传和培训、建立健全反洗钱绩效考核和奖惩机制、建设完善反洗钱信息系统。</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业务部门承担洗钱风险管理的直接责任，主要履行以下职责: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（一）识别、评估、监测本业务条线的洗钱风险，及时向反洗钱管理部门报告；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（二）建立相应的工作机制，将洗钱风险管理要求嵌入产品研发、流程设计、业务管理和具体操作；</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（三）开展或配合开展客户身份识别和客户洗钱风险分类管理，采取针对性的风险应对措施；</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（四）以业务（含产品、服务）的洗钱风险评估为基础，完善各项业务操作流程；</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（五）完整并妥善保存客户身份资料及交易记录；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（六）开展或配合开展交易监测和名单监控，确保名单监控有效性，按照规定对相关资产和账户采取管控措施；</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（七）配合反洗钱监管和反洗钱行政调查工作；</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（八）开展本业务条线反洗钱工作检查；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（九）开展本业务条线反洗钱宣传和培训；</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（十）配合反洗钱管理部门开展其他反洗钱工作。</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第十四条</w:t>
      </w:r>
      <w:r>
        <w:rPr>
          <w:rStyle w:val="10"/>
          <w:rFonts w:hint="eastAsia" w:ascii="微软雅黑" w:hAnsi="微软雅黑" w:eastAsia="微软雅黑"/>
          <w:color w:val="333333"/>
          <w:spacing w:val="15"/>
        </w:rPr>
        <w:t> </w:t>
      </w:r>
      <w:r>
        <w:rPr>
          <w:rFonts w:hint="eastAsia" w:ascii="微软雅黑" w:hAnsi="微软雅黑" w:eastAsia="微软雅黑"/>
          <w:color w:val="333333"/>
          <w:spacing w:val="15"/>
        </w:rPr>
        <w:t> 、第十五条所述反洗钱工作职责、事项，涉及运营管理、风险管理、法律事务、财务会计、安全保卫等其他部门的，法人金融机构应当就上述部门对相关工作的职责分工进行明确规定。</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第十七条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内部审计部门负责对反洗钱法律法规和监管要求的执行情况、内部控制制度的有效性和执行情况、洗钱风险管理情况进行独立、客观的审计评价。</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未设立审计部门的法人金融机构，应当明确相关工作由承担审计职能的其他部门承担，并保证相关工作的独立性。</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人力资源部门负责洗钱风险管理的人力资源保障，结合洗钱风险管理需求，合理配置洗钱风险管理职位、职级和职数，选用符合标准的人员，建立反洗钱绩效考核和奖惩机制，为反洗钱宣导和培训提供支持。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第十九条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法人金融机构应当加强对境内外分支机构和相关附属机构的管理指导和监督，采取必要措施保证洗钱风险管理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政策和程序在境内外分支机构和相关附属机构得到充分理解与有效执行，保持洗钱风险管理的一致性和有效性。</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果其他措施无法有效控制风险，法人金融机构应当考虑在适当情况下关闭境外分支机构或相关附属机构。</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反洗钱资源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规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法人金融机构有条件配备专职人员的，不得以兼职人员替代专职人员。兼职人员占全部洗钱风险管理人员的比例不得高于80％</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在聘用员工、任命或授权高级管理人员、选用洗钱风险管理人员、引入战略投资者或在主要股东和控股股东入股之前，应当对其是否涉及刑事犯罪、是否存在其他犯罪记录及过往履职经历等情况进行充分的背景调查，评估可能存在的洗钱风险。</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法人金融机构应当持续开展各类反洗钱宣传和培训，促进洗钱风险管理文化得到充分传导，全面提高全体员工的反洗钱知识、技能和意识，确保全体员工能够适应所在岗位的反洗钱履职需要。</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第三章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风险管理策略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 xml:space="preserve">第二十七条  </w:t>
      </w:r>
      <w:r>
        <w:rPr>
          <w:rFonts w:hint="eastAsia" w:ascii="微软雅黑" w:hAnsi="微软雅黑" w:eastAsia="微软雅黑"/>
          <w:color w:val="333333"/>
          <w:spacing w:val="15"/>
        </w:rPr>
        <w:t>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已经建立业务关系的，应当中止交易并考虑提交可疑交易报告，必要时终止业务关系。</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第二十九条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第四章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风险管理政策和程序一—方法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法人金融机构应当制定洗钱风险管理政策和程序，包括但不限于反洗钱内部控制制度（含流程、操作指引）；洗钱风险管理的方法；应急计划；反洗钱措施；信息保密和信息共享。</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法人金融机构应当建立健全反洗钱内部控制制度，加强统一管理，规范制度制定和审批程序，明确发文种类、层级和对象。</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反洗钱内部控制制度应当全面覆盖反洗钱法律法规和监管要求，并与本机构业务实际相适应。在反洗钱法律法规、监管要求或业务发展情况发生变化时，法人金融机构应当及时更新反洗钱内部控制制度。</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洗钱风险识别与评估是有效的洗钱风险管理的基础。法人金融机构应当建立洗钱风险评估制度，对本机构内外部洗钱风险进行分析研判，评估本机构风险控制机制的有效性，查找风险漏洞和薄弱环节，有效运用评估结果，合理配置反洗钱资源，采取有针对性的风险控制措施。</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评估结果的运用包括但不限于以下方面:调整经营策略、发布风险提示、完善制度流程、增强资源投入、加强账户管理和交易监测、强化名单监控、严格内部检查和审计等。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法人金融机构应当确保洗钱风险评估的流程具有可稽核性或可追溯性，并对洗钱风险评估的流程和方法进行定期审查和调整。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法人金融机构可以在充分论证可行性的基础上委托独立第三方开展风险评估。</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法人金融机构在广泛收集信息的基础上，采取定性与定量分析相结合的方法，建立洗钱风险评估指标体系和模型对洗钱风险进行识别和评估。</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法人金融机构应当根据风险评估需要，统筹确定各类信息的来源及其采集方法。信息来源应当考虑国家、行业、客户、地域、机构等方面，包括但不限于以下来源:</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（二）国家相关部门通报的上游犯罪形势、案例或监管信息；</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（三）中国人民银行、银保监会、证监会、外汇局等金融监管部门发布的洗钱风险提示和业务风险提示；</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（四）在与客户建立业务关系时和业务关系存续期间，客户披露的信息、客户经理或柜面人员工作记录、保存的交易记录、委托其他金融机构或第三方对客户进行尽职调查工作所获取的合法信息；</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（五）内部管理或业务流程中获取的信息，包括内部审计结果。</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法人金融机构应当将信息采集嵌入相应业务流程，由各业务条线工作人员依据岗位职责、权限设置等开展信息采集。必要时通过问卷调查等方式，开展针对性的信息采集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法人金融机构应当从国家/地域、客户及业务（含产品、服务）等维度进行综合考虑，确立风险因素，设置风险评估指标。</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国家/地域风险因素应当考虑:1.在高风险国家（地区）设立境外分支机构情况；2.交易对手或对方金融机构涉及高风险国家（地区）情况；3.境外分支机构数量及地域分布情况；4.高风险国家（地区）经营收入占比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客户风险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业务（含产品、服务）风险因素应当考虑:1.现金交易情况；2.非面对面交易情况；3.跨境交易情况；4.代理交易情况；5.公转私交易情况；6.私人银行业务情况；7.特约商户业务情况；8.一次性交易情况；9.通道类资产管理业务情况；10.场外交易情况:11.大宗交易情况；12.新三板协议转让业务；13.场外衍生品业务；14.保单贷款业务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法人金融机构应从制度体系、组织架构和洗钱风险管理文化的建设情况、洗钱风险管理策略、风险评估制度和风险控制措施的制定和执行情况等维度进行综合考虑，设置风险控制措施有效性的评估指标。</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评估指标的具体比重及分值设置由法人金融机构根据有效的洗钱风险管理需要自主确定。</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洗钱风险评估包括定期评估和不定期评估。法人金融机构应当根据本机构实际和国家/区域洗钱风险评估需要，合理确定定期开展全系统洗钱风险评估的时间、周期或频率。</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为有效开展洗钱风险评估工作，法人金融机构应当建立并维护业务（含产品、服务）类型清单和客户种类清单。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第三十七条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根据洗钱风险评估结果，结合客户身份识别、客户身份资料和交易记录保存、交易监测、大额交易和可疑交易报告、名单监控、资产冻结等反洗钱义务制定风险控制措施，并融入相关业务操作流程，有效控制洗钱风险。</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层报告洗钱风险情况，包括洗钱风险管理策略、政策、程序、风险评估制度、风险控制措施的制定和执行情况以及洗钱风险事件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第三十九条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制定应急计划，确保能够及时应对和处理重大洗钱风险享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法人金融机构应当通过妥善方式记录开展洗钱风险管理的工作过程，采取必要的管理措施和技术手段保存工作资料，保存方式应当保证洗钱风险管理人员获取相关信息的便捷性。</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健全内部控制机制，按照《中华人民共和国反洗钱法》、《中华人民共和国国家安全法》《中华人民共和国网络安全法》和有关保密规定，严格保护反洗钱工作中获得的信息，非依法律规定，不得向任何单位和个人提供。</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建立跨境信息保密保障措施，对于在开展跨境业务、应对跨境监管等过程中所涉的客户、账户和交易信息、可疑交易报告等信息，应当严格控制跨境信息知悉范围和程度，建立完善的内部跨境信息传递体系、风险控制流程和授权审批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钱调查等信息不得对外提供。</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法人金融机构反洗钱管理部门、审计部门等部门为履行反洗钱工作职责，有权要求境内外分支机构和相关附属机构提供客户、账户、交易信息及其他与洗钱风险管理相关的信息。</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第五章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风险管理政策和程序——措施</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按照反洗钱法律法规和监管要求所采取的客户身份识别、客户身份资料和交易记录保存、大额交易和可疑交易报告等措施是满足反洗钱合规性要求的最低标准，情节严重的违法行为将受到处罚。为有效管理洗钱风险，法人金融机构应当在此基础上，采取更有针对性、更严格、更有效的措施。</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客户身份识别措施包括但不限于以下方面: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按照规定将客户身份信息和交易记录迅速、便捷、准确地提供给监管机构、执法机构等部门。</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构建以客户为基本单位的交易监测体系，交易监测范围应当覆盖全部客户和业务领域，包括客户的交易、企图进行的交易及客户身份识别的整个过程。法人金融机构应当根据本行业、本机构反洗钱工作实践和真实数据，重点参考本行业发生的洗钱案件及风险信息，结合客户的身份特征、交易特征或行为特征，建立与其面临的洗钱风险相匹配的监测标准，并根据客户、业务（含产品、服务）和洗钱风险变化情况及时调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第四十七条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法人金融机构应当建立健全大额交易和可疑交易报告制度，按照规定及时、准确、完整向中国反洗钱监测分析中心或中国人民银行及其分支机构提交大额交易和可疑交易报告。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在报送可疑交易报告后，应当根据中国人民银行的相关规定采取相应的后续风险控制措施，包括对可疑交易所涉客户及交易开展持续监控、提升客户风险等级、限制客户交易、拒绝提供服务、终止业务关系、向相关金融监管部门报告、向相关侦查机关报案等。</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法人金融机构应当建立反洗钱和反恐怖融资监控名单库，并及时进行更新和维护。监控名单包括但不限于以下内容:</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（一）公安部等我国有权部门发布的恐怖活动组织及恐怖活动人员名单；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（二）联合国发布的且得到我国承认的制裁决议名单；（三）其他国际组织、其他国家（地区）发布的且得到我国承认的反洗钱和反恐怖融资监控名单；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（四）中国人民银行要求关注的其他反洗钱和反恐怖融资监控名单；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（五）洗钱风险管理工作中发现的其他需要监测关注的组织或人员名单。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第四十九条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对监控名单开展实时监测涉及资金交易的应当在资金交易完成前开展监测，不涉及资金交易的应当在办理相关业务后尽快开展监测。在名单调整时，法人金融机构应当立即对存量客户以及上溯三年内的交易开展回溯性调查，并按规定提交可疑交易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法人金融机构在洗钱风险管理工作中发现的其他需要监测关注的组织或人员名单，可以根据洗钱风险管理需要自主决定是否开展实时监测和回溯性调查。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法人金融机构应当有效识别高风险业务（含产品、服务），并对其进行定期评估、动态调整。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对于高风险业务（含产品、服务），如建立账户代理行关系、提供资金或价值转移服务、办理电汇业务等，法人金融机构应按照相关法律法规的要求，开展进一步的强化尽职调查措施，并结合高风险业务（含产品、服务）典型风险特征及时发布风险提示。</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制定并执行清晰的客户接纳政策和程序，明确禁止建立业务关系的客户范围，有效识别高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取客户及其受益所有人身份信息，适当提高信息的收集或更新频率，深入了解客户经营活动状况、财产或资金来源，询问与核实交易的目的和动机，适度提高交易监测的频率及强度，提高审批层级等，并加强对其金融交易活动的跟踪监测和分析排查。</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第六章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信息系统和反洗钱数据、信息</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反洗钱信息系统及相关系统应当包括但不限于以下主要功能，以支持洗钱风险管理的需要。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（一）支持洗钱风险评估，包括业务洗钱风险评估和客户洗钱风险分类管理；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（二）支持客户身份识别、客户身份资料及交易记录等反洗钱信息的登记、保存、查询和使用；</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（三）支持反洗钱交易监测和分析；</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（四）支持大额交易和可疑交易报告；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（五）支持名单实时监控和回溯性调查；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（六）支持反洗钱监管和反洗钱调查。</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第五十五条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第五十六条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加强数据治理，建立健全数据质量控制机制，积累真实、准确、连续、完整的内外部数据，用于洗钱风险识别、评估、监测和报告。反洗钱数据的存储和使用应当符合数据安全标准、满足保密管理要求。</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法人金融机构不得违反规定设置信息壁垒，阻止或影响其他法人金融机构正常获取开展反洗钱工作所必需的信息和数据。</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第七章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内部检查、审计、绩效考核和奖惩机制</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第五十七条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对业务部门、境内外分支机构、相关附属机构开展定期或不定期的反洗钱工作检查，对检查结果进行分析，对发现的问题进行积极整改。检查结果与业务部门、境内外分支机构、相关附属机构绩效考核和管理授权挂钩。</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第五十八条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通过内部审计开展洗钱风险管理的审计评价，检查和评价洗钱风险管理的合规性和有效性，确保各项业务自身管理与其洗钱风险管理工作相匹配，反洗钱内部控制有效。审计范围、方法和频率应当与洗钱风险状况相适应。反洗钱内部审计可以是专项审计或与其他审计项目结合进行。</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法人金融机构应当确保反洗钱内部审计活动独立于业务经营、风险管理和合规管理，遵循独立性、客观性原则，不断提升内部审计人员的专业能力和职业操守。</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反洗钱内部审计报告应当提交董事会或其授权的专门委员会。董事会或其授权的专门委员会应当针对内部审计发现的问题，督促高级管理层及时采取整改措施。内部审计部门应当跟踪检查整改措施的实施情况，涉及重大问题的整改情况，应及时向董事会或其授权的专门委员会提交有关报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第五十九条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法人金融机构委托外部审计机构对洗钱风险管理工作开展评价的，外部审计必须确保审计范围和方法科学合理，审计人员具有必要的专业知识和经验，审计工作应当满足反洗钱保密要求。</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第六十条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pPr>
        <w:pStyle w:val="4"/>
        <w:shd w:val="clear" w:color="auto" w:fill="FFFFFF"/>
        <w:spacing w:before="0" w:beforeAutospacing="0" w:after="0" w:afterAutospacing="0" w:line="420" w:lineRule="atLeast"/>
        <w:ind w:firstLine="555"/>
        <w:jc w:val="center"/>
        <w:rPr>
          <w:rFonts w:ascii="微软雅黑" w:hAnsi="微软雅黑" w:eastAsia="微软雅黑"/>
          <w:color w:val="333333"/>
          <w:spacing w:val="8"/>
        </w:rPr>
      </w:pPr>
      <w:r>
        <w:rPr>
          <w:rStyle w:val="7"/>
          <w:rFonts w:hint="eastAsia" w:ascii="微软雅黑" w:hAnsi="微软雅黑" w:eastAsia="微软雅黑"/>
          <w:color w:val="333333"/>
          <w:spacing w:val="15"/>
        </w:rPr>
        <w:t>第八章</w:t>
      </w:r>
      <w:r>
        <w:rPr>
          <w:rStyle w:val="10"/>
          <w:rFonts w:hint="eastAsia" w:ascii="微软雅黑" w:hAnsi="微软雅黑" w:eastAsia="微软雅黑"/>
          <w:b/>
          <w:bCs/>
          <w:color w:val="333333"/>
          <w:spacing w:val="15"/>
        </w:rPr>
        <w:t xml:space="preserve">  </w:t>
      </w:r>
      <w:r>
        <w:rPr>
          <w:rStyle w:val="7"/>
          <w:rFonts w:hint="eastAsia" w:ascii="微软雅黑" w:hAnsi="微软雅黑" w:eastAsia="微软雅黑"/>
          <w:color w:val="333333"/>
          <w:spacing w:val="15"/>
        </w:rPr>
        <w:t>附则</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第六十一条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未设立董事会和监事会的法人金融机构，由其高级管理层承担洗钱风险管理的最终责任，履行相应职责，并指定一个独立于反洗钱管理部门的内设部门承担洗钱风险管理的监督职责。</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Fonts w:hint="eastAsia" w:ascii="微软雅黑" w:hAnsi="微软雅黑" w:eastAsia="微软雅黑"/>
          <w:color w:val="333333"/>
          <w:spacing w:val="15"/>
        </w:rPr>
        <w:t>法人金融机构根据本机构业务实际对反洗钱信息系统及其他相关系统的开发、日常维护及升级等工作作出其他安排的，应当确保相关安排满足洗钱风险管理需要。</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第六十二条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非银行支付机构、从事汇兑业务和基金销售业务的机构，以及银行卡清算机构、资金清算中心等从事清算业务的机构参照本指引开展洗钱风险管理。</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第六十三条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本指引由中国人民银行负责解释。</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pacing w:val="8"/>
        </w:rPr>
      </w:pPr>
      <w:r>
        <w:rPr>
          <w:rStyle w:val="7"/>
          <w:rFonts w:hint="eastAsia" w:ascii="微软雅黑" w:hAnsi="微软雅黑" w:eastAsia="微软雅黑"/>
          <w:color w:val="333333"/>
          <w:spacing w:val="15"/>
        </w:rPr>
        <w:t>第六十四条</w:t>
      </w:r>
      <w:r>
        <w:rPr>
          <w:rStyle w:val="10"/>
          <w:rFonts w:hint="eastAsia" w:ascii="微软雅黑" w:hAnsi="微软雅黑" w:eastAsia="微软雅黑"/>
          <w:b/>
          <w:bCs/>
          <w:color w:val="333333"/>
          <w:spacing w:val="15"/>
        </w:rPr>
        <w:t xml:space="preserve">  </w:t>
      </w:r>
      <w:r>
        <w:rPr>
          <w:rFonts w:hint="eastAsia" w:ascii="微软雅黑" w:hAnsi="微软雅黑" w:eastAsia="微软雅黑"/>
          <w:color w:val="333333"/>
          <w:spacing w:val="15"/>
        </w:rPr>
        <w:t>本指引自2019年1月1日起施行。</w:t>
      </w:r>
    </w:p>
    <w:p>
      <w:pPr>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74"/>
    <w:rsid w:val="00196F5F"/>
    <w:rsid w:val="001F397E"/>
    <w:rsid w:val="002D1974"/>
    <w:rsid w:val="004370A6"/>
    <w:rsid w:val="00441BFF"/>
    <w:rsid w:val="004C0E5D"/>
    <w:rsid w:val="00840FA1"/>
    <w:rsid w:val="0086603D"/>
    <w:rsid w:val="008A28DD"/>
    <w:rsid w:val="008C34C3"/>
    <w:rsid w:val="00A33508"/>
    <w:rsid w:val="00A8428E"/>
    <w:rsid w:val="00C93E4B"/>
    <w:rsid w:val="4CBB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character" w:customStyle="1" w:styleId="10">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agilecentury</Company>
  <Pages>26</Pages>
  <Words>1979</Words>
  <Characters>11286</Characters>
  <Lines>94</Lines>
  <Paragraphs>26</Paragraphs>
  <TotalTime>60</TotalTime>
  <ScaleCrop>false</ScaleCrop>
  <LinksUpToDate>false</LinksUpToDate>
  <CharactersWithSpaces>13239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2018-10-11T01:56:00Z</dcterms:created>
  <dc:creator>捷软</dc:creator>
  <cp:lastModifiedBy>lxt</cp:lastModifiedBy>
  <dcterms:modified xsi:type="dcterms:W3CDTF">2020-04-09T01:57:07Z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